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605B6090" w:rsidR="007476DC" w:rsidRDefault="00F02A06">
      <w:r>
        <w:t>PRESSEMITTEILUNG</w:t>
      </w:r>
    </w:p>
    <w:p w14:paraId="595C2A2C" w14:textId="77777777" w:rsidR="00F02A06" w:rsidRDefault="00F02A06">
      <w:pPr>
        <w:rPr>
          <w:sz w:val="28"/>
          <w:szCs w:val="28"/>
        </w:rPr>
      </w:pPr>
    </w:p>
    <w:p w14:paraId="03A5C0B0" w14:textId="77777777" w:rsidR="0062034B" w:rsidRPr="0062034B" w:rsidRDefault="0062034B" w:rsidP="0062034B">
      <w:pPr>
        <w:spacing w:after="240"/>
        <w:rPr>
          <w:b/>
          <w:bCs/>
          <w:sz w:val="28"/>
          <w:szCs w:val="28"/>
        </w:rPr>
      </w:pPr>
      <w:r w:rsidRPr="0062034B">
        <w:rPr>
          <w:b/>
          <w:bCs/>
          <w:sz w:val="28"/>
          <w:szCs w:val="28"/>
        </w:rPr>
        <w:t>Den Alltagsproblemen in der Wasseranalytik mit Systemlösungen ein Schnippchen schlagen</w:t>
      </w:r>
    </w:p>
    <w:p w14:paraId="6CEA4F7F" w14:textId="77777777" w:rsidR="0062034B" w:rsidRDefault="0062034B" w:rsidP="0062034B">
      <w:pPr>
        <w:snapToGrid w:val="0"/>
        <w:spacing w:before="120" w:after="120"/>
      </w:pPr>
      <w:r>
        <w:t xml:space="preserve">Hoher Zeitaufwand, erzwungenermaßen viele verschiedene Bezugsquellen, komplizierte Arbeitswege und hohe Kosten: So sieht der Arbeitsalltag für viele aus, die in der Wasseranalytik tagtäglich mit Routinekontrollen befasst sind. Für die Wasser- und Spektralanalyse gibt es jedoch Systemlösungen, die vielfältig sparsam sind – nicht nur für den Geldbeutel. </w:t>
      </w:r>
    </w:p>
    <w:p w14:paraId="24CB11E0" w14:textId="77777777" w:rsidR="0062034B" w:rsidRDefault="0062034B" w:rsidP="0062034B">
      <w:pPr>
        <w:spacing w:before="120" w:after="120"/>
      </w:pPr>
      <w:r>
        <w:t xml:space="preserve">Die Spektralphotometer der XD-Serie von Lovibond® läuten hier eine neue Ära ein. Denn die UV- und UV/VIS-Geräte sind in mehrfacher Hinsicht ein Gewinn für jeden Arbeitsplatz. Egal ob sie in der Desinfektionsmittelkontrolle, in der Abwasser- und Rohwasserbehandlung, in der Trinkwasseraufbereitung, bei der Analyse von Kessel- und Kühlwasser oder bei der Beckenwasserkontrolle und Schwimmbadwasseraufbereitung zum Einsatz kommen: Mit dem XD 7000 und dem XD 7500 ist die Wasseranalytik nie einfacher gewesen. </w:t>
      </w:r>
    </w:p>
    <w:p w14:paraId="57BE021B" w14:textId="77777777" w:rsidR="0062034B" w:rsidRDefault="0062034B" w:rsidP="0062034B">
      <w:pPr>
        <w:spacing w:before="120" w:after="120"/>
      </w:pPr>
      <w:r>
        <w:t xml:space="preserve">Alles, was der Anwender braucht, kommt aus einer Hand. Die günstigen, barcodierten </w:t>
      </w:r>
      <w:proofErr w:type="spellStart"/>
      <w:r>
        <w:t>Küvettentests</w:t>
      </w:r>
      <w:proofErr w:type="spellEnd"/>
      <w:r>
        <w:t xml:space="preserve"> gibt es gleich dazu. Damit kann jeder die richtige Testmethode direkt über das Gerät anwählen. Über den externen Barcode-Scanner kann die geeignete Analysenmethode auch auf Reagenzien-Verpackungen, im Lovibond®-Methodenhandbuch oder mit gezielt angeforderten, barcodierten Vorlagen für die eigenen SOPs ausgewählt werden. Die Geräte erkennen die gängigsten Küvetten in den häufigsten Größen automatisch, melden den Einsatz einer falschen Küvette oder passen den Messbereich an. Damit gehören lästige Umwege und zeitaufwändige Extra-Arbeitsgänge der Vergangenheit an.</w:t>
      </w:r>
    </w:p>
    <w:p w14:paraId="1F0F9107" w14:textId="77777777" w:rsidR="0062034B" w:rsidRDefault="0062034B" w:rsidP="0062034B">
      <w:pPr>
        <w:spacing w:before="120" w:after="120"/>
      </w:pPr>
      <w:r>
        <w:t>Unterstützung bieten die Geräte der XD-Serie ebenfalls bei der analytischen Qualitätssicherung. Anwenderdefinierte Kalibrierung, Password-Kontrolle und automatische Protokollierung sind dabei nur einige Möglichkeiten. Hinzu kommen einfache Bedienerführung und globale Einsatzfähigkeit dank Mehrsprach</w:t>
      </w:r>
      <w:bookmarkStart w:id="0" w:name="_GoBack"/>
      <w:bookmarkEnd w:id="0"/>
      <w:r>
        <w:t xml:space="preserve">igkeit auf allen wichtigen Ebenen. Wertvolle Hilfestellungen bietet überdies das Lovibond®-Methodenhandbuch für viele analytischen Fragen und Anwendungen an. Zahllose technische Details wie die UV- und UV/VIS-Optik oder die Lichtquellen über Wolfram-Halogen- bzw. Xenon Blitzlampe machen aus den Spektralphotometern Premium-Geräte als ökonomische Systemlösung. </w:t>
      </w:r>
    </w:p>
    <w:p w14:paraId="2DB551AD" w14:textId="77777777" w:rsidR="0062034B" w:rsidRDefault="0062034B" w:rsidP="0062034B">
      <w:pPr>
        <w:spacing w:after="120"/>
      </w:pPr>
      <w:r>
        <w:t>Mehr Informationen über die XD-Serie von Lovibond® gibt auf der Homepage lovibond.com.</w:t>
      </w:r>
    </w:p>
    <w:p w14:paraId="2BD79C6B" w14:textId="5A7C977D" w:rsidR="00CA5299" w:rsidRPr="0047103B" w:rsidRDefault="00CA5299" w:rsidP="0062034B">
      <w:pPr>
        <w:spacing w:after="120"/>
        <w:rPr>
          <w:i/>
          <w:sz w:val="22"/>
          <w:szCs w:val="22"/>
        </w:rPr>
      </w:pPr>
      <w:r w:rsidRPr="0047103B">
        <w:rPr>
          <w:i/>
          <w:sz w:val="22"/>
          <w:szCs w:val="22"/>
        </w:rPr>
        <w:t>Übrigens: Diese Presseinformation finden Sie selbstverständlich auch digital – im</w:t>
      </w:r>
      <w:r w:rsidR="00AB4DF5">
        <w:rPr>
          <w:i/>
          <w:sz w:val="22"/>
          <w:szCs w:val="22"/>
        </w:rPr>
        <w:t xml:space="preserve"> </w:t>
      </w:r>
      <w:r w:rsidRPr="0047103B">
        <w:rPr>
          <w:i/>
          <w:sz w:val="22"/>
          <w:szCs w:val="22"/>
        </w:rPr>
        <w:t>Pressebereich</w:t>
      </w:r>
      <w:r w:rsidR="00F02A06" w:rsidRPr="0047103B">
        <w:rPr>
          <w:i/>
          <w:sz w:val="22"/>
          <w:szCs w:val="22"/>
        </w:rPr>
        <w:t xml:space="preserve"> </w:t>
      </w:r>
      <w:r w:rsidR="00AB4DF5">
        <w:rPr>
          <w:i/>
          <w:sz w:val="22"/>
          <w:szCs w:val="22"/>
        </w:rPr>
        <w:t>unserer</w:t>
      </w:r>
      <w:r w:rsidR="00F02A06" w:rsidRPr="0047103B">
        <w:rPr>
          <w:i/>
          <w:sz w:val="22"/>
          <w:szCs w:val="22"/>
        </w:rPr>
        <w:t xml:space="preserve"> Homepage</w:t>
      </w:r>
      <w:r w:rsidRPr="0047103B">
        <w:rPr>
          <w:i/>
          <w:sz w:val="22"/>
          <w:szCs w:val="22"/>
        </w:rPr>
        <w:t xml:space="preserve">. </w:t>
      </w:r>
    </w:p>
    <w:p w14:paraId="0998850C" w14:textId="77777777" w:rsidR="00CA5299" w:rsidRDefault="00CA5299"/>
    <w:p w14:paraId="3B34DE79" w14:textId="77777777" w:rsidR="000910E8" w:rsidRPr="0062034B" w:rsidRDefault="00CA5299" w:rsidP="000910E8">
      <w:pPr>
        <w:spacing w:after="120"/>
        <w:rPr>
          <w:b/>
          <w:sz w:val="22"/>
          <w:szCs w:val="22"/>
        </w:rPr>
      </w:pPr>
      <w:r w:rsidRPr="0062034B">
        <w:rPr>
          <w:b/>
          <w:sz w:val="22"/>
          <w:szCs w:val="22"/>
        </w:rPr>
        <w:t>Über die Tintometer® GmbH</w:t>
      </w:r>
    </w:p>
    <w:p w14:paraId="35BB6B6A" w14:textId="4843A3DE" w:rsidR="0015178F" w:rsidRPr="0062034B" w:rsidRDefault="000910E8" w:rsidP="00A3178A">
      <w:pPr>
        <w:jc w:val="both"/>
        <w:rPr>
          <w:rFonts w:cs="Arial"/>
          <w:color w:val="000000"/>
          <w:sz w:val="18"/>
          <w:szCs w:val="18"/>
        </w:rPr>
      </w:pPr>
      <w:r w:rsidRPr="0062034B">
        <w:rPr>
          <w:rFonts w:cs="Arial"/>
          <w:color w:val="000000"/>
          <w:sz w:val="18"/>
          <w:szCs w:val="18"/>
        </w:rPr>
        <w:t xml:space="preserve">Seit über 130 Jahren bilden Wasser und Farben die Schwerpunkte des Familienunternehmens. Die von Tintometer® entwickelten, hergestellten und weltweit vertriebenen Messgeräte und Nachweisverfahren </w:t>
      </w:r>
      <w:r w:rsidR="00F02A06" w:rsidRPr="0062034B">
        <w:rPr>
          <w:rFonts w:cs="Arial"/>
          <w:color w:val="000000"/>
          <w:sz w:val="18"/>
          <w:szCs w:val="18"/>
        </w:rPr>
        <w:t xml:space="preserve">für Wasseranalytik und Farbmessungen </w:t>
      </w:r>
      <w:r w:rsidRPr="0062034B">
        <w:rPr>
          <w:rFonts w:cs="Arial"/>
          <w:color w:val="000000"/>
          <w:sz w:val="18"/>
          <w:szCs w:val="18"/>
        </w:rPr>
        <w:t>liefern die Grundlage für qualitätvolle und zuverlässige Messungen mit schnellen und sicheren Analyseergebnissen in fast allen Lebensbereichen. Dabei werden Lösungen entwickelt, die in der Industrie ebenso begehrt sind wie im Wasser- und Abwasserwerk, im Schwimmbad, in der Umwelt oder in der Forschung.</w:t>
      </w:r>
    </w:p>
    <w:sectPr w:rsidR="0015178F" w:rsidRPr="0062034B" w:rsidSect="00A668B0">
      <w:head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4D3CE" w14:textId="77777777" w:rsidR="007F5EB4" w:rsidRDefault="007F5EB4" w:rsidP="004D2CFE">
      <w:r>
        <w:separator/>
      </w:r>
    </w:p>
  </w:endnote>
  <w:endnote w:type="continuationSeparator" w:id="0">
    <w:p w14:paraId="6E8E299C" w14:textId="77777777" w:rsidR="007F5EB4" w:rsidRDefault="007F5EB4"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8B5D8" w14:textId="77777777" w:rsidR="007F5EB4" w:rsidRDefault="007F5EB4" w:rsidP="004D2CFE">
      <w:r>
        <w:separator/>
      </w:r>
    </w:p>
  </w:footnote>
  <w:footnote w:type="continuationSeparator" w:id="0">
    <w:p w14:paraId="643A47E7" w14:textId="77777777" w:rsidR="007F5EB4" w:rsidRDefault="007F5EB4"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2408DB"/>
    <w:rsid w:val="002466F9"/>
    <w:rsid w:val="00284B67"/>
    <w:rsid w:val="002C239A"/>
    <w:rsid w:val="002F6E75"/>
    <w:rsid w:val="00304551"/>
    <w:rsid w:val="003079BB"/>
    <w:rsid w:val="003451A0"/>
    <w:rsid w:val="003B52F5"/>
    <w:rsid w:val="00404978"/>
    <w:rsid w:val="00421909"/>
    <w:rsid w:val="00427436"/>
    <w:rsid w:val="0047103B"/>
    <w:rsid w:val="004737B5"/>
    <w:rsid w:val="004878A1"/>
    <w:rsid w:val="004D2CFE"/>
    <w:rsid w:val="00516040"/>
    <w:rsid w:val="00534607"/>
    <w:rsid w:val="005A10C5"/>
    <w:rsid w:val="005A633F"/>
    <w:rsid w:val="005A7FCA"/>
    <w:rsid w:val="005B1948"/>
    <w:rsid w:val="00600DE7"/>
    <w:rsid w:val="0062034B"/>
    <w:rsid w:val="006712FB"/>
    <w:rsid w:val="00692BAB"/>
    <w:rsid w:val="006939FD"/>
    <w:rsid w:val="006B0E94"/>
    <w:rsid w:val="006C097D"/>
    <w:rsid w:val="00707D2E"/>
    <w:rsid w:val="007434B7"/>
    <w:rsid w:val="007E6E5C"/>
    <w:rsid w:val="007F5EB4"/>
    <w:rsid w:val="008A24DC"/>
    <w:rsid w:val="008A5B62"/>
    <w:rsid w:val="00935CF1"/>
    <w:rsid w:val="00975B73"/>
    <w:rsid w:val="009B7FC9"/>
    <w:rsid w:val="00A1715C"/>
    <w:rsid w:val="00A22303"/>
    <w:rsid w:val="00A3178A"/>
    <w:rsid w:val="00A40326"/>
    <w:rsid w:val="00A56D3F"/>
    <w:rsid w:val="00A668B0"/>
    <w:rsid w:val="00A942CB"/>
    <w:rsid w:val="00AB4DF5"/>
    <w:rsid w:val="00AD3042"/>
    <w:rsid w:val="00B42A4E"/>
    <w:rsid w:val="00B637CB"/>
    <w:rsid w:val="00B86DB5"/>
    <w:rsid w:val="00BC6409"/>
    <w:rsid w:val="00BF7DB0"/>
    <w:rsid w:val="00C44BB5"/>
    <w:rsid w:val="00CA33D2"/>
    <w:rsid w:val="00CA5299"/>
    <w:rsid w:val="00CF1E87"/>
    <w:rsid w:val="00CF640A"/>
    <w:rsid w:val="00D224A1"/>
    <w:rsid w:val="00D807CA"/>
    <w:rsid w:val="00DB339F"/>
    <w:rsid w:val="00DB5E40"/>
    <w:rsid w:val="00DD4113"/>
    <w:rsid w:val="00E8184E"/>
    <w:rsid w:val="00EA4C77"/>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2641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 User</cp:lastModifiedBy>
  <cp:revision>3</cp:revision>
  <cp:lastPrinted>2018-06-18T08:35:00Z</cp:lastPrinted>
  <dcterms:created xsi:type="dcterms:W3CDTF">2019-02-20T12:59:00Z</dcterms:created>
  <dcterms:modified xsi:type="dcterms:W3CDTF">2019-02-20T13:03:00Z</dcterms:modified>
</cp:coreProperties>
</file>